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黑体" w:hAnsi="黑体" w:eastAsia="黑体" w:cs="黑体"/>
          <w:sz w:val="28"/>
          <w:szCs w:val="28"/>
          <w:vertAlign w:val="baseline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vertAlign w:val="baseline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1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/>
          <w:b/>
          <w:bCs/>
          <w:sz w:val="32"/>
          <w:szCs w:val="32"/>
          <w:vertAlign w:val="baseline"/>
          <w:lang w:eastAsia="zh-CN"/>
        </w:rPr>
      </w:pPr>
      <w:r>
        <w:rPr>
          <w:rFonts w:hint="eastAsia"/>
          <w:b/>
          <w:bCs/>
          <w:sz w:val="32"/>
          <w:szCs w:val="32"/>
          <w:vertAlign w:val="baseline"/>
          <w:lang w:eastAsia="zh-CN"/>
        </w:rPr>
        <w:t>专业课程成绩参考比率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vertAlign w:val="baseline"/>
        </w:rPr>
      </w:pPr>
    </w:p>
    <w:tbl>
      <w:tblPr>
        <w:tblStyle w:val="5"/>
        <w:tblW w:w="8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84"/>
        <w:gridCol w:w="2185"/>
        <w:gridCol w:w="2185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1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课程类别</w:t>
            </w:r>
          </w:p>
        </w:tc>
        <w:tc>
          <w:tcPr>
            <w:tcW w:w="218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平时成绩（%）</w:t>
            </w:r>
          </w:p>
        </w:tc>
        <w:tc>
          <w:tcPr>
            <w:tcW w:w="218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期末成绩（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%）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1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理论课程</w:t>
            </w:r>
          </w:p>
        </w:tc>
        <w:tc>
          <w:tcPr>
            <w:tcW w:w="218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18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21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实践课程（不含理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考试）</w:t>
            </w:r>
          </w:p>
        </w:tc>
        <w:tc>
          <w:tcPr>
            <w:tcW w:w="218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18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07" w:hRule="atLeast"/>
          <w:jc w:val="center"/>
        </w:trPr>
        <w:tc>
          <w:tcPr>
            <w:tcW w:w="21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实践课程（含理论考试）</w:t>
            </w:r>
          </w:p>
        </w:tc>
        <w:tc>
          <w:tcPr>
            <w:tcW w:w="218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218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理论考试成绩包含在平时成绩内，期末成绩是实践考试成绩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以上比率设置仅供参考，具体比例可根据课程特点划分。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B785B"/>
    <w:rsid w:val="4E3B78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2016-12-20T03:45:00Z</dcterms:created>
  <dc:creator>Administrator</dc:creator>
  <cp:lastModifiedBy>Administrator</cp:lastModifiedBy>
  <dcterms:modified xsi:type="dcterms:W3CDTF">2016-12-20T03:55:38Z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